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45"/>
          <w:tab w:val="center" w:pos="4578"/>
        </w:tabs>
        <w:spacing w:line="460" w:lineRule="exact"/>
        <w:jc w:val="left"/>
        <w:rPr>
          <w:b/>
          <w:bCs/>
          <w:sz w:val="10"/>
          <w:szCs w:val="10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rFonts w:hint="eastAsia"/>
          <w:b/>
          <w:bCs/>
          <w:sz w:val="28"/>
        </w:rPr>
        <w:t>东莞市建设工程检测中心有限公司</w:t>
      </w:r>
    </w:p>
    <w:p>
      <w:pPr>
        <w:spacing w:line="460" w:lineRule="exact"/>
        <w:ind w:left="2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szCs w:val="36"/>
        </w:rPr>
        <w:t>建筑墙板</w:t>
      </w:r>
      <w:r>
        <w:rPr>
          <w:rFonts w:hint="eastAsia"/>
          <w:b/>
          <w:bCs/>
          <w:sz w:val="36"/>
        </w:rPr>
        <w:t>检测委托单</w:t>
      </w:r>
    </w:p>
    <w:p>
      <w:pPr>
        <w:spacing w:line="240" w:lineRule="auto"/>
        <w:ind w:left="80" w:leftChars="31" w:firstLine="6341" w:firstLineChars="2909"/>
        <w:rPr>
          <w:sz w:val="21"/>
        </w:rPr>
      </w:pPr>
      <w:r>
        <w:rPr>
          <w:sz w:val="20"/>
        </w:rPr>
        <w:pict>
          <v:shape id="_x0000_s1027" o:spid="_x0000_s1027" o:spt="202" type="#_x0000_t202" style="position:absolute;left:0pt;margin-left:481.4pt;margin-top:145.15pt;height:195.6pt;width:38.7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第一联          检测单位</w:t>
                  </w:r>
                </w:p>
              </w:txbxContent>
            </v:textbox>
          </v:shape>
        </w:pict>
      </w:r>
      <w:r>
        <w:rPr>
          <w:rFonts w:hint="eastAsia"/>
          <w:sz w:val="21"/>
        </w:rPr>
        <w:t>计费编号:</w:t>
      </w:r>
    </w:p>
    <w:tbl>
      <w:tblPr>
        <w:tblStyle w:val="9"/>
        <w:tblpPr w:leftFromText="180" w:rightFromText="180" w:vertAnchor="text" w:horzAnchor="margin" w:tblpXSpec="center" w:tblpY="2"/>
        <w:tblW w:w="94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597"/>
        <w:gridCol w:w="679"/>
        <w:gridCol w:w="283"/>
        <w:gridCol w:w="769"/>
        <w:gridCol w:w="365"/>
        <w:gridCol w:w="428"/>
        <w:gridCol w:w="1492"/>
        <w:gridCol w:w="773"/>
        <w:gridCol w:w="386"/>
        <w:gridCol w:w="1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委托单位</w:t>
            </w:r>
          </w:p>
        </w:tc>
        <w:tc>
          <w:tcPr>
            <w:tcW w:w="7923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工程名称</w:t>
            </w:r>
          </w:p>
        </w:tc>
        <w:tc>
          <w:tcPr>
            <w:tcW w:w="560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所在镇区</w:t>
            </w:r>
          </w:p>
        </w:tc>
        <w:tc>
          <w:tcPr>
            <w:tcW w:w="115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hint="eastAsia" w:ascii="Times New Roman" w:cs="Times New Roman"/>
                <w:sz w:val="21"/>
              </w:rPr>
              <w:t>检验</w:t>
            </w:r>
            <w:r>
              <w:rPr>
                <w:rFonts w:ascii="Times New Roman" w:cs="Times New Roman"/>
                <w:sz w:val="21"/>
              </w:rPr>
              <w:t>类别</w:t>
            </w:r>
          </w:p>
        </w:tc>
        <w:tc>
          <w:tcPr>
            <w:tcW w:w="792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firstLine="228" w:firstLineChars="10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普通送检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有见证送检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监督抽检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委托抽检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样品处理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Times New Roman" w:cs="Times New Roman"/>
                <w:sz w:val="21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cs="Times New Roman"/>
                <w:sz w:val="21"/>
              </w:rPr>
              <w:t>不退样</w:t>
            </w:r>
            <w:r>
              <w:rPr>
                <w:rFonts w:hint="eastAsia" w:ascii="Times New Roman" w:cs="Times New Roman"/>
                <w:sz w:val="21"/>
              </w:rPr>
              <w:t xml:space="preserve">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cs="Times New Roman"/>
                <w:sz w:val="21"/>
              </w:rPr>
              <w:t>退样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监督登记号</w:t>
            </w:r>
          </w:p>
        </w:tc>
        <w:tc>
          <w:tcPr>
            <w:tcW w:w="423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送样日期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hint="eastAsia" w:ascii="Times New Roman" w:cs="Times New Roman"/>
                <w:sz w:val="21"/>
              </w:rPr>
              <w:t xml:space="preserve">   </w:t>
            </w:r>
            <w:r>
              <w:rPr>
                <w:rFonts w:ascii="Times New Roman" w:cs="Times New Roman"/>
                <w:sz w:val="21"/>
              </w:rPr>
              <w:t>年   月   日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监督类别</w:t>
            </w:r>
          </w:p>
        </w:tc>
        <w:tc>
          <w:tcPr>
            <w:tcW w:w="423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□市站一级（ZJS）  □市镇两级（ZJF）</w:t>
            </w:r>
          </w:p>
          <w:p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□镇街一级（ZJFZ）  □区镇两级（ZJFQ）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送样人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联系电话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监督员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联系电话</w:t>
            </w:r>
          </w:p>
        </w:tc>
        <w:tc>
          <w:tcPr>
            <w:tcW w:w="423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见证人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见证单位</w:t>
            </w:r>
          </w:p>
        </w:tc>
        <w:tc>
          <w:tcPr>
            <w:tcW w:w="4238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49" w:type="dxa"/>
            <w:gridSpan w:val="1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      品      信 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7"/>
              </w:tabs>
              <w:ind w:firstLine="129" w:firstLineChars="50"/>
              <w:jc w:val="center"/>
              <w:rPr>
                <w:rFonts w:ascii="Times New Roman" w:cs="Times New Roman"/>
                <w:szCs w:val="24"/>
              </w:rPr>
            </w:pPr>
            <w:r>
              <w:rPr>
                <w:rFonts w:hint="eastAsia" w:ascii="Times New Roman" w:cs="Times New Roman"/>
                <w:szCs w:val="24"/>
              </w:rPr>
              <w:t>检测项目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宋体" w:cs="Times New Roman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ascii="Times New Roman" w:hAnsi="宋体" w:cs="Times New Roman"/>
                <w:sz w:val="20"/>
                <w:szCs w:val="20"/>
              </w:rPr>
              <w:t>外观质量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ascii="Times New Roman" w:hAnsi="宋体" w:cs="Times New Roman"/>
                <w:sz w:val="20"/>
                <w:szCs w:val="20"/>
              </w:rPr>
              <w:t>尺寸偏差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宋体" w:cs="Times New Roman"/>
                <w:sz w:val="20"/>
                <w:szCs w:val="20"/>
              </w:rPr>
              <w:t>抗冲击性能</w:t>
            </w:r>
            <w:r>
              <w:rPr>
                <w:rFonts w:ascii="Times New Roman" w:cs="Times New Roman"/>
                <w:sz w:val="20"/>
                <w:szCs w:val="20"/>
              </w:rPr>
              <w:t xml:space="preserve">  </w:t>
            </w: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宋体" w:cs="Times New Roman"/>
                <w:sz w:val="20"/>
                <w:szCs w:val="20"/>
              </w:rPr>
              <w:t>面密度（干密度）</w:t>
            </w:r>
            <w:r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宋体" w:cs="Times New Roman"/>
                <w:sz w:val="20"/>
                <w:szCs w:val="20"/>
              </w:rPr>
              <w:t>抗弯承载</w:t>
            </w:r>
          </w:p>
          <w:p>
            <w:pPr>
              <w:spacing w:line="240" w:lineRule="atLeas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宋体" w:cs="Times New Roman"/>
                <w:sz w:val="20"/>
                <w:szCs w:val="20"/>
              </w:rPr>
              <w:t>抗压强度</w:t>
            </w:r>
            <w:r>
              <w:rPr>
                <w:rFonts w:ascii="Times New Roman" w:cs="Times New Roman"/>
                <w:sz w:val="20"/>
                <w:szCs w:val="20"/>
              </w:rPr>
              <w:t xml:space="preserve">   </w:t>
            </w: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宋体" w:cs="Times New Roman"/>
                <w:sz w:val="20"/>
                <w:szCs w:val="20"/>
              </w:rPr>
              <w:t>软化系数</w:t>
            </w:r>
            <w:r>
              <w:rPr>
                <w:rFonts w:ascii="Times New Roman" w:cs="Times New Roman"/>
                <w:sz w:val="20"/>
                <w:szCs w:val="20"/>
              </w:rPr>
              <w:t xml:space="preserve">   </w:t>
            </w: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宋体" w:cs="Times New Roman"/>
                <w:sz w:val="20"/>
                <w:szCs w:val="20"/>
              </w:rPr>
              <w:t>含水率</w:t>
            </w:r>
            <w:r>
              <w:rPr>
                <w:rFonts w:ascii="Times New Roman" w:cs="Times New Roman"/>
                <w:sz w:val="20"/>
                <w:szCs w:val="20"/>
              </w:rPr>
              <w:t xml:space="preserve">   </w:t>
            </w: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宋体" w:cs="Times New Roman"/>
                <w:sz w:val="20"/>
                <w:szCs w:val="20"/>
              </w:rPr>
              <w:t>干燥收缩</w:t>
            </w:r>
            <w:r>
              <w:rPr>
                <w:rFonts w:ascii="Times New Roman" w:cs="Times New Roman"/>
                <w:sz w:val="20"/>
                <w:szCs w:val="20"/>
              </w:rPr>
              <w:t xml:space="preserve">  </w:t>
            </w:r>
            <w:r>
              <w:rPr>
                <w:rFonts w:hAnsi="宋体" w:cs="Times New Roman"/>
                <w:sz w:val="20"/>
                <w:szCs w:val="20"/>
              </w:rPr>
              <w:t>□</w:t>
            </w:r>
            <w:r>
              <w:rPr>
                <w:rFonts w:hint="eastAsia" w:ascii="Times New Roman" w:hAnsi="宋体" w:cs="Times New Roman"/>
                <w:sz w:val="20"/>
                <w:szCs w:val="20"/>
              </w:rPr>
              <w:t>吊挂力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67"/>
              </w:tabs>
              <w:ind w:firstLine="129" w:firstLineChars="50"/>
              <w:jc w:val="center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检评依据</w:t>
            </w:r>
          </w:p>
          <w:p>
            <w:pPr>
              <w:tabs>
                <w:tab w:val="left" w:pos="1467"/>
              </w:tabs>
              <w:ind w:firstLine="129" w:firstLineChars="50"/>
              <w:jc w:val="center"/>
              <w:rPr>
                <w:rFonts w:ascii="Times New Roman" w:cs="Times New Roman"/>
                <w:szCs w:val="24"/>
              </w:rPr>
            </w:pPr>
            <w:r>
              <w:rPr>
                <w:rFonts w:hint="eastAsia" w:ascii="Times New Roman" w:cs="Times New Roman"/>
                <w:szCs w:val="24"/>
              </w:rPr>
              <w:t>样品种类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①</w:t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>《灰渣混凝土空心隔墙板》GB/T 23449-2009</w:t>
            </w:r>
          </w:p>
          <w:p>
            <w:pPr>
              <w:spacing w:line="240" w:lineRule="atLeast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普通板（PB）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门框板（MB）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窗框板（CB）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异型板（YB）</w:t>
            </w:r>
          </w:p>
          <w:p>
            <w:pPr>
              <w:spacing w:line="240" w:lineRule="atLeast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②</w:t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>《建筑用轻质隔墙条板》GB/T 23451-2023</w:t>
            </w:r>
          </w:p>
          <w:p>
            <w:pPr>
              <w:spacing w:line="240" w:lineRule="atLeast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按断面构造分：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空心条板（K）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实心条板（S）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复合条板（F） </w:t>
            </w:r>
          </w:p>
          <w:p>
            <w:pPr>
              <w:spacing w:line="240" w:lineRule="atLeast"/>
              <w:rPr>
                <w:rFonts w:hint="eastAsia" w:hAnsi="宋体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按构件类型分：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普通板（PB）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门窗框板（MCB）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异型板（YB）</w:t>
            </w:r>
          </w:p>
          <w:p>
            <w:pPr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按含水率分：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潮湿（</w:t>
            </w:r>
            <w:r>
              <w:rPr>
                <w:rFonts w:eastAsia="仿宋"/>
                <w:sz w:val="18"/>
                <w:szCs w:val="18"/>
              </w:rPr>
              <w:t>≤12</w:t>
            </w:r>
            <w:r>
              <w:rPr>
                <w:rFonts w:hint="eastAsia" w:eastAsia="仿宋"/>
                <w:sz w:val="18"/>
                <w:szCs w:val="18"/>
              </w:rPr>
              <w:t>%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）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中等（</w:t>
            </w:r>
            <w:r>
              <w:rPr>
                <w:rFonts w:eastAsia="仿宋"/>
                <w:sz w:val="18"/>
                <w:szCs w:val="18"/>
              </w:rPr>
              <w:t>≤1</w:t>
            </w:r>
            <w:r>
              <w:rPr>
                <w:rFonts w:hint="eastAsia" w:eastAsia="仿宋"/>
                <w:sz w:val="18"/>
                <w:szCs w:val="18"/>
              </w:rPr>
              <w:t>0%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）  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干燥（</w:t>
            </w:r>
            <w:r>
              <w:rPr>
                <w:rFonts w:eastAsia="仿宋"/>
                <w:sz w:val="18"/>
                <w:szCs w:val="18"/>
              </w:rPr>
              <w:t>≤</w:t>
            </w:r>
            <w:r>
              <w:rPr>
                <w:rFonts w:hint="eastAsia" w:eastAsia="仿宋"/>
                <w:sz w:val="18"/>
                <w:szCs w:val="18"/>
              </w:rPr>
              <w:t>8%</w:t>
            </w:r>
            <w:r>
              <w:rPr>
                <w:rFonts w:hint="eastAsia" w:hAnsi="宋体" w:cs="Times New Roman"/>
                <w:sz w:val="18"/>
                <w:szCs w:val="18"/>
              </w:rPr>
              <w:t>）</w:t>
            </w:r>
          </w:p>
          <w:p>
            <w:pPr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按材料分：  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水泥条板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石膏条板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混凝土条板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复合条板</w:t>
            </w:r>
          </w:p>
          <w:p>
            <w:pPr>
              <w:spacing w:line="240" w:lineRule="atLeast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③</w:t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>《建筑隔墙用轻质条板通用技术要求》JC/T 169-2016</w:t>
            </w:r>
          </w:p>
          <w:p>
            <w:pPr>
              <w:spacing w:line="240" w:lineRule="atLeast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按断面构造分：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空心条板（K）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实心条板（S） 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复合条板（F） </w:t>
            </w:r>
          </w:p>
          <w:p>
            <w:pPr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按构件类型分：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普通板（PB）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门窗框板（MCB）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异型板（YB）</w:t>
            </w:r>
          </w:p>
          <w:p>
            <w:pPr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按含水率分：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潮湿（</w:t>
            </w:r>
            <w:r>
              <w:rPr>
                <w:rFonts w:eastAsia="仿宋"/>
                <w:sz w:val="18"/>
                <w:szCs w:val="18"/>
              </w:rPr>
              <w:t>≤12</w:t>
            </w:r>
            <w:r>
              <w:rPr>
                <w:rFonts w:hint="eastAsia" w:eastAsia="仿宋"/>
                <w:sz w:val="18"/>
                <w:szCs w:val="18"/>
              </w:rPr>
              <w:t>%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）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中等（</w:t>
            </w:r>
            <w:r>
              <w:rPr>
                <w:rFonts w:eastAsia="仿宋"/>
                <w:sz w:val="18"/>
                <w:szCs w:val="18"/>
              </w:rPr>
              <w:t>≤1</w:t>
            </w:r>
            <w:r>
              <w:rPr>
                <w:rFonts w:hint="eastAsia" w:eastAsia="仿宋"/>
                <w:sz w:val="18"/>
                <w:szCs w:val="18"/>
              </w:rPr>
              <w:t>0%</w:t>
            </w:r>
            <w:r>
              <w:rPr>
                <w:rFonts w:hint="eastAsia" w:hAnsi="宋体" w:cs="Times New Roman"/>
                <w:sz w:val="18"/>
                <w:szCs w:val="18"/>
              </w:rPr>
              <w:t xml:space="preserve">）    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干燥（</w:t>
            </w:r>
            <w:r>
              <w:rPr>
                <w:rFonts w:eastAsia="仿宋"/>
                <w:sz w:val="18"/>
                <w:szCs w:val="18"/>
              </w:rPr>
              <w:t>≤</w:t>
            </w:r>
            <w:r>
              <w:rPr>
                <w:rFonts w:hint="eastAsia" w:eastAsia="仿宋"/>
                <w:sz w:val="18"/>
                <w:szCs w:val="18"/>
              </w:rPr>
              <w:t>8%</w:t>
            </w:r>
            <w:r>
              <w:rPr>
                <w:rFonts w:hint="eastAsia" w:hAnsi="宋体" w:cs="Times New Roman"/>
                <w:sz w:val="18"/>
                <w:szCs w:val="18"/>
              </w:rPr>
              <w:t>）</w:t>
            </w:r>
          </w:p>
          <w:p>
            <w:pPr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按材料分：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水泥条板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石膏条板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混凝土条板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烧结条板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发泡陶瓷条板</w:t>
            </w:r>
            <w:r>
              <w:rPr>
                <w:rFonts w:hAnsi="宋体" w:cs="Times New Roman"/>
                <w:sz w:val="18"/>
                <w:szCs w:val="18"/>
              </w:rPr>
              <w:t>□</w:t>
            </w:r>
            <w:r>
              <w:rPr>
                <w:rFonts w:hint="eastAsia" w:hAnsi="宋体" w:cs="Times New Roman"/>
                <w:sz w:val="18"/>
                <w:szCs w:val="18"/>
              </w:rPr>
              <w:t>复合条板</w:t>
            </w:r>
          </w:p>
          <w:p>
            <w:pPr>
              <w:spacing w:line="240" w:lineRule="atLeast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cs="Times New Roman"/>
                <w:b/>
                <w:sz w:val="18"/>
                <w:szCs w:val="18"/>
              </w:rPr>
              <w:t>④《建筑隔墙用保温条板》GB/T 23450-2009</w:t>
            </w:r>
          </w:p>
          <w:p>
            <w:pPr>
              <w:spacing w:line="240" w:lineRule="atLeast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cs="Times New Roman"/>
                <w:b/>
                <w:sz w:val="18"/>
                <w:szCs w:val="18"/>
              </w:rPr>
              <w:t>⑤《蒸压加气混凝土板》GB/T 15762-2020（</w:t>
            </w:r>
            <w:r>
              <w:rPr>
                <w:rFonts w:hint="eastAsia"/>
                <w:b/>
                <w:sz w:val="18"/>
                <w:szCs w:val="18"/>
              </w:rPr>
              <w:t>应标明发气方向或受压面</w:t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>）</w:t>
            </w:r>
          </w:p>
          <w:p>
            <w:pPr>
              <w:spacing w:line="240" w:lineRule="atLeast"/>
              <w:ind w:firstLine="397" w:firstLineChars="200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b/>
                <w:color w:val="FF0000"/>
                <w:sz w:val="18"/>
                <w:szCs w:val="18"/>
              </w:rPr>
              <w:t>强度级别：A</w:t>
            </w:r>
            <w:r>
              <w:rPr>
                <w:rFonts w:hint="eastAsia" w:asci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Times New Roman" w:cs="Times New Roman"/>
                <w:color w:val="FF0000"/>
                <w:sz w:val="18"/>
                <w:szCs w:val="18"/>
              </w:rPr>
              <w:t xml:space="preserve"> ； </w:t>
            </w:r>
            <w:r>
              <w:rPr>
                <w:rFonts w:hint="eastAsia" w:ascii="Times New Roman" w:cs="Times New Roman"/>
                <w:b/>
                <w:color w:val="FF0000"/>
                <w:sz w:val="18"/>
                <w:szCs w:val="18"/>
              </w:rPr>
              <w:t>干密度级别：B</w:t>
            </w:r>
            <w:r>
              <w:rPr>
                <w:rFonts w:hint="eastAsia" w:ascii="Times New Roman" w:cs="Times New Roman"/>
                <w:b/>
                <w:color w:val="FF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Times New Roman" w:cs="Times New Roman"/>
                <w:b/>
                <w:color w:val="FF0000"/>
                <w:sz w:val="18"/>
                <w:szCs w:val="18"/>
              </w:rPr>
              <w:t>。</w:t>
            </w:r>
          </w:p>
          <w:p>
            <w:pPr>
              <w:spacing w:line="240" w:lineRule="atLeast"/>
              <w:rPr>
                <w:rFonts w:ascii="Times New Roman" w:cs="Times New Roman"/>
                <w:b/>
                <w:szCs w:val="24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ascii="Times New Roman" w:cs="Times New Roman"/>
                <w:b/>
                <w:sz w:val="18"/>
                <w:szCs w:val="18"/>
              </w:rPr>
              <w:instrText xml:space="preserve"> </w:instrText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instrText xml:space="preserve">= 6 \* GB3</w:instrText>
            </w:r>
            <w:r>
              <w:rPr>
                <w:rFonts w:ascii="Times New Roman" w:cs="Times New Roman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>⑥</w:t>
            </w:r>
            <w:r>
              <w:rPr>
                <w:rFonts w:asci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hint="eastAsia" w:asci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cs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工程部位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29" w:leftChars="-50" w:right="-129" w:rightChars="-5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样品种类</w:t>
            </w:r>
          </w:p>
          <w:p>
            <w:pPr>
              <w:spacing w:line="0" w:lineRule="atLeast"/>
              <w:ind w:left="-129" w:leftChars="-50" w:right="-129" w:rightChars="-5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FF0000"/>
                <w:sz w:val="21"/>
                <w:szCs w:val="21"/>
              </w:rPr>
              <w:t>（必填）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样品名称</w:t>
            </w:r>
          </w:p>
        </w:tc>
        <w:tc>
          <w:tcPr>
            <w:tcW w:w="15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规格型号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（mm）</w:t>
            </w:r>
          </w:p>
        </w:tc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</w:rPr>
              <w:t>生产厂家</w:t>
            </w:r>
          </w:p>
        </w:tc>
        <w:tc>
          <w:tcPr>
            <w:tcW w:w="7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lang w:eastAsia="zh-CN"/>
              </w:rPr>
              <w:t>代表数量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992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62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9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77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BG</w:t>
            </w:r>
            <w:r>
              <w:rPr>
                <w:rFonts w:hint="eastAsia" w:ascii="Times New Roman" w:cs="Times New Roman"/>
                <w:sz w:val="21"/>
                <w:szCs w:val="21"/>
              </w:rPr>
              <w:t>QB</w:t>
            </w: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ascii="Times New Roman" w:cs="Times New Roman"/>
                <w:sz w:val="21"/>
                <w:szCs w:val="21"/>
              </w:rPr>
              <w:t>-</w:t>
            </w:r>
          </w:p>
          <w:p>
            <w:pPr>
              <w:spacing w:line="240" w:lineRule="auto"/>
              <w:rPr>
                <w:rFonts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对样人</w:t>
            </w:r>
          </w:p>
        </w:tc>
        <w:tc>
          <w:tcPr>
            <w:tcW w:w="15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样品状态</w:t>
            </w:r>
          </w:p>
        </w:tc>
        <w:tc>
          <w:tcPr>
            <w:tcW w:w="4603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190" w:firstLineChars="500"/>
              <w:rPr>
                <w:rFonts w:ascii="Times New Roman" w:cs="Times New Roman"/>
                <w:sz w:val="18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1"/>
              </w:rPr>
              <w:t>正常</w:t>
            </w:r>
            <w:r>
              <w:rPr>
                <w:rFonts w:ascii="Times New Roman" w:cs="Times New Roman"/>
                <w:sz w:val="21"/>
              </w:rPr>
              <w:t xml:space="preserve">  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收样人</w:t>
            </w:r>
          </w:p>
        </w:tc>
        <w:tc>
          <w:tcPr>
            <w:tcW w:w="15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7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收样日期</w:t>
            </w:r>
          </w:p>
        </w:tc>
        <w:tc>
          <w:tcPr>
            <w:tcW w:w="4603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备  注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</w:tbl>
    <w:p>
      <w:pPr>
        <w:spacing w:line="240" w:lineRule="auto"/>
        <w:ind w:left="-19" w:leftChars="-50" w:right="-645" w:rightChars="-250" w:hanging="110" w:hangingChars="56"/>
        <w:rPr>
          <w:sz w:val="18"/>
        </w:rPr>
      </w:pPr>
      <w:r>
        <w:rPr>
          <w:rFonts w:hint="eastAsia" w:hAnsi="宋体"/>
          <w:sz w:val="18"/>
        </w:rPr>
        <w:t>说明：1.委托方确认检测项目，保证所提供样品和资料的真实性；</w:t>
      </w:r>
      <w:r>
        <w:rPr>
          <w:rFonts w:hint="eastAsia"/>
          <w:sz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第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PAGE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页 共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NUMPAGES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页</w:t>
      </w:r>
    </w:p>
    <w:p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2.见证人确认对有见证送检样品的代表性和取样、送检的真实性；</w:t>
      </w:r>
    </w:p>
    <w:p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3.本中心保证检测的公正性，对检测数据负责，为委托方提供的样品及其有关资料保密；</w:t>
      </w:r>
    </w:p>
    <w:p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4.本中心地址：广东省东莞市大岭山镇连马路183号   邮编：523809  电话：0769-22985678转0。</w:t>
      </w:r>
    </w:p>
    <w:p>
      <w:pPr>
        <w:spacing w:line="240" w:lineRule="auto"/>
        <w:ind w:left="11" w:firstLine="495" w:firstLineChars="250"/>
        <w:jc w:val="left"/>
      </w:pPr>
      <w:r>
        <w:rPr>
          <w:rFonts w:hint="eastAsia" w:hAnsi="宋体"/>
          <w:sz w:val="18"/>
        </w:rPr>
        <w:t>5.请凭收费清单原件领取报告。</w:t>
      </w:r>
    </w:p>
    <w:sectPr>
      <w:headerReference r:id="rId5" w:type="default"/>
      <w:pgSz w:w="11907" w:h="16840"/>
      <w:pgMar w:top="-142" w:right="1457" w:bottom="0" w:left="1293" w:header="287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right"/>
    </w:pPr>
    <w:r>
      <w:rPr>
        <w:sz w:val="24"/>
        <w:szCs w:val="24"/>
      </w:rPr>
      <w:t>DGJC/W--</w:t>
    </w:r>
    <w:r>
      <w:rPr>
        <w:rFonts w:hint="eastAsia"/>
        <w:sz w:val="24"/>
        <w:szCs w:val="24"/>
      </w:rPr>
      <w:t>119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9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B1D"/>
    <w:rsid w:val="0000246B"/>
    <w:rsid w:val="00007A15"/>
    <w:rsid w:val="00014376"/>
    <w:rsid w:val="00023BFA"/>
    <w:rsid w:val="00041636"/>
    <w:rsid w:val="00057128"/>
    <w:rsid w:val="000713D8"/>
    <w:rsid w:val="00071F1F"/>
    <w:rsid w:val="00084458"/>
    <w:rsid w:val="0009649D"/>
    <w:rsid w:val="000B2D96"/>
    <w:rsid w:val="00113B44"/>
    <w:rsid w:val="00141E38"/>
    <w:rsid w:val="00156CF7"/>
    <w:rsid w:val="00182B90"/>
    <w:rsid w:val="0018329E"/>
    <w:rsid w:val="001A3C8B"/>
    <w:rsid w:val="001D2ED3"/>
    <w:rsid w:val="001D342F"/>
    <w:rsid w:val="001D471E"/>
    <w:rsid w:val="002052B0"/>
    <w:rsid w:val="00213E41"/>
    <w:rsid w:val="00235A54"/>
    <w:rsid w:val="00236B09"/>
    <w:rsid w:val="002665DB"/>
    <w:rsid w:val="00283FD9"/>
    <w:rsid w:val="00285754"/>
    <w:rsid w:val="002A288F"/>
    <w:rsid w:val="002A52E2"/>
    <w:rsid w:val="002F0928"/>
    <w:rsid w:val="00305542"/>
    <w:rsid w:val="00307EE4"/>
    <w:rsid w:val="0035675C"/>
    <w:rsid w:val="003647A7"/>
    <w:rsid w:val="00376DF6"/>
    <w:rsid w:val="003858E2"/>
    <w:rsid w:val="00392FEE"/>
    <w:rsid w:val="00394DDD"/>
    <w:rsid w:val="003B5D20"/>
    <w:rsid w:val="003D7EE7"/>
    <w:rsid w:val="003E5116"/>
    <w:rsid w:val="00444608"/>
    <w:rsid w:val="00446309"/>
    <w:rsid w:val="0046009A"/>
    <w:rsid w:val="004637E8"/>
    <w:rsid w:val="00486371"/>
    <w:rsid w:val="00491A3C"/>
    <w:rsid w:val="00494B9A"/>
    <w:rsid w:val="004975FD"/>
    <w:rsid w:val="004A4A3C"/>
    <w:rsid w:val="004A6714"/>
    <w:rsid w:val="004D4FA9"/>
    <w:rsid w:val="00506CA2"/>
    <w:rsid w:val="00520A67"/>
    <w:rsid w:val="00525B4B"/>
    <w:rsid w:val="00526028"/>
    <w:rsid w:val="00551D58"/>
    <w:rsid w:val="00563BD1"/>
    <w:rsid w:val="005B095E"/>
    <w:rsid w:val="005B3975"/>
    <w:rsid w:val="005B4F5E"/>
    <w:rsid w:val="005E1474"/>
    <w:rsid w:val="005E5B33"/>
    <w:rsid w:val="005F34E3"/>
    <w:rsid w:val="005F4FD2"/>
    <w:rsid w:val="00601A6E"/>
    <w:rsid w:val="0060301D"/>
    <w:rsid w:val="006125EA"/>
    <w:rsid w:val="00622EF6"/>
    <w:rsid w:val="00631DB2"/>
    <w:rsid w:val="0063536E"/>
    <w:rsid w:val="00637459"/>
    <w:rsid w:val="00685D0F"/>
    <w:rsid w:val="006902E3"/>
    <w:rsid w:val="006A22DE"/>
    <w:rsid w:val="006D1E56"/>
    <w:rsid w:val="006D4482"/>
    <w:rsid w:val="007061F0"/>
    <w:rsid w:val="00712078"/>
    <w:rsid w:val="007121FC"/>
    <w:rsid w:val="00720820"/>
    <w:rsid w:val="007359AD"/>
    <w:rsid w:val="00741DF0"/>
    <w:rsid w:val="00780382"/>
    <w:rsid w:val="00786E5D"/>
    <w:rsid w:val="0079607C"/>
    <w:rsid w:val="007D777C"/>
    <w:rsid w:val="007E180E"/>
    <w:rsid w:val="007E1CF6"/>
    <w:rsid w:val="007E2F67"/>
    <w:rsid w:val="007F4ABD"/>
    <w:rsid w:val="008015DD"/>
    <w:rsid w:val="00812F93"/>
    <w:rsid w:val="0082109B"/>
    <w:rsid w:val="00823D62"/>
    <w:rsid w:val="00827638"/>
    <w:rsid w:val="008277F5"/>
    <w:rsid w:val="008407AF"/>
    <w:rsid w:val="00841C1C"/>
    <w:rsid w:val="00857A00"/>
    <w:rsid w:val="008644BF"/>
    <w:rsid w:val="00884086"/>
    <w:rsid w:val="008960AB"/>
    <w:rsid w:val="008A27FE"/>
    <w:rsid w:val="008A2DDC"/>
    <w:rsid w:val="008B1A69"/>
    <w:rsid w:val="008B208F"/>
    <w:rsid w:val="00907241"/>
    <w:rsid w:val="00915B6C"/>
    <w:rsid w:val="00917B1D"/>
    <w:rsid w:val="009410E7"/>
    <w:rsid w:val="00960C13"/>
    <w:rsid w:val="0096217B"/>
    <w:rsid w:val="00970002"/>
    <w:rsid w:val="0097791A"/>
    <w:rsid w:val="009902E9"/>
    <w:rsid w:val="00990DCF"/>
    <w:rsid w:val="00993F84"/>
    <w:rsid w:val="009A174D"/>
    <w:rsid w:val="009B621E"/>
    <w:rsid w:val="009C10C8"/>
    <w:rsid w:val="009D1CA4"/>
    <w:rsid w:val="009F1BEA"/>
    <w:rsid w:val="00A11A5A"/>
    <w:rsid w:val="00A140BD"/>
    <w:rsid w:val="00A179AF"/>
    <w:rsid w:val="00A21517"/>
    <w:rsid w:val="00A32D69"/>
    <w:rsid w:val="00A34B8A"/>
    <w:rsid w:val="00A75377"/>
    <w:rsid w:val="00A80916"/>
    <w:rsid w:val="00AA2158"/>
    <w:rsid w:val="00AB1F51"/>
    <w:rsid w:val="00AC0BAF"/>
    <w:rsid w:val="00AC5908"/>
    <w:rsid w:val="00AC6DDE"/>
    <w:rsid w:val="00AD5C32"/>
    <w:rsid w:val="00AD65E5"/>
    <w:rsid w:val="00AD6A02"/>
    <w:rsid w:val="00AF0639"/>
    <w:rsid w:val="00B00B69"/>
    <w:rsid w:val="00B02E53"/>
    <w:rsid w:val="00B12E9E"/>
    <w:rsid w:val="00B2234C"/>
    <w:rsid w:val="00B33E7B"/>
    <w:rsid w:val="00B40554"/>
    <w:rsid w:val="00B501D7"/>
    <w:rsid w:val="00B575A9"/>
    <w:rsid w:val="00B72D01"/>
    <w:rsid w:val="00B74ADD"/>
    <w:rsid w:val="00B81FD8"/>
    <w:rsid w:val="00B95954"/>
    <w:rsid w:val="00BA6EB9"/>
    <w:rsid w:val="00BC38A2"/>
    <w:rsid w:val="00BC7317"/>
    <w:rsid w:val="00BD6B55"/>
    <w:rsid w:val="00BE613C"/>
    <w:rsid w:val="00BF728D"/>
    <w:rsid w:val="00C0398C"/>
    <w:rsid w:val="00C15DFC"/>
    <w:rsid w:val="00C315A9"/>
    <w:rsid w:val="00C3334F"/>
    <w:rsid w:val="00C33620"/>
    <w:rsid w:val="00C3526F"/>
    <w:rsid w:val="00C37896"/>
    <w:rsid w:val="00C463B5"/>
    <w:rsid w:val="00C54D66"/>
    <w:rsid w:val="00C612D2"/>
    <w:rsid w:val="00C623B3"/>
    <w:rsid w:val="00C656F3"/>
    <w:rsid w:val="00CA0ED3"/>
    <w:rsid w:val="00CD600E"/>
    <w:rsid w:val="00CF75A3"/>
    <w:rsid w:val="00D427AD"/>
    <w:rsid w:val="00D60548"/>
    <w:rsid w:val="00D609C3"/>
    <w:rsid w:val="00D913B6"/>
    <w:rsid w:val="00D945DD"/>
    <w:rsid w:val="00DF7C48"/>
    <w:rsid w:val="00E031E5"/>
    <w:rsid w:val="00E03204"/>
    <w:rsid w:val="00E13479"/>
    <w:rsid w:val="00E22326"/>
    <w:rsid w:val="00E238B2"/>
    <w:rsid w:val="00E25A1C"/>
    <w:rsid w:val="00E263A0"/>
    <w:rsid w:val="00E32829"/>
    <w:rsid w:val="00E5418E"/>
    <w:rsid w:val="00E56FB5"/>
    <w:rsid w:val="00E6266E"/>
    <w:rsid w:val="00E6716B"/>
    <w:rsid w:val="00E7280F"/>
    <w:rsid w:val="00E77ACE"/>
    <w:rsid w:val="00E91541"/>
    <w:rsid w:val="00EC6EB2"/>
    <w:rsid w:val="00EE363A"/>
    <w:rsid w:val="00EF5912"/>
    <w:rsid w:val="00F033B1"/>
    <w:rsid w:val="00F15B58"/>
    <w:rsid w:val="00F3345C"/>
    <w:rsid w:val="00F35350"/>
    <w:rsid w:val="00F45089"/>
    <w:rsid w:val="00F459AA"/>
    <w:rsid w:val="00F8171D"/>
    <w:rsid w:val="00F84C2C"/>
    <w:rsid w:val="00FA1432"/>
    <w:rsid w:val="00FA7E4F"/>
    <w:rsid w:val="00FB2CC2"/>
    <w:rsid w:val="00FC034F"/>
    <w:rsid w:val="00FD5FD4"/>
    <w:rsid w:val="00FE5B3E"/>
    <w:rsid w:val="00FE723F"/>
    <w:rsid w:val="00FF10FF"/>
    <w:rsid w:val="0E66661A"/>
    <w:rsid w:val="195C70E3"/>
    <w:rsid w:val="19632833"/>
    <w:rsid w:val="456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Times New Roman" w:eastAsia="宋体" w:cs="Courier New"/>
      <w:spacing w:val="9"/>
      <w:sz w:val="24"/>
      <w:szCs w:val="2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outlineLvl w:val="1"/>
    </w:pPr>
    <w:rPr>
      <w:rFonts w:cs="Times New Roman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1">
    <w:name w:val="Char"/>
    <w:basedOn w:val="1"/>
    <w:qFormat/>
    <w:uiPriority w:val="0"/>
    <w:pPr>
      <w:tabs>
        <w:tab w:val="left" w:pos="4665"/>
        <w:tab w:val="left" w:pos="8970"/>
      </w:tabs>
      <w:spacing w:line="240" w:lineRule="auto"/>
      <w:ind w:firstLine="400"/>
    </w:pPr>
    <w:rPr>
      <w:rFonts w:ascii="Tahoma" w:hAnsi="Tahoma" w:cs="Tahoma"/>
      <w:spacing w:val="0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jky</Company>
  <Pages>1</Pages>
  <Words>791</Words>
  <Characters>915</Characters>
  <Lines>4</Lines>
  <Paragraphs>2</Paragraphs>
  <TotalTime>12</TotalTime>
  <ScaleCrop>false</ScaleCrop>
  <LinksUpToDate>false</LinksUpToDate>
  <CharactersWithSpaces>1144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2024-05-09T01:59:00Z</dcterms:created>
  <dc:creator>jky06</dc:creator>
  <cp:lastModifiedBy>青柠</cp:lastModifiedBy>
  <cp:lastPrinted>2021-04-25T02:37:00Z</cp:lastPrinted>
  <dcterms:modified xsi:type="dcterms:W3CDTF">2024-12-31T09:37:06Z</dcterms:modified>
  <dc:title>广东省建设工程质量安全监督检测总站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0266EEAD3BF34DDBBDA242F5726A9C60</vt:lpwstr>
  </property>
  <property fmtid="{D5CDD505-2E9C-101B-9397-08002B2CF9AE}" pid="4" name="KSOTemplateDocerSaveRecord">
    <vt:lpwstr>eyJoZGlkIjoiYjk0MjRlYjRmYTljOTU1ZTA5NjVhZGQwOTBmZTNlNTUiLCJ1c2VySWQiOiI0MTUyMTUwNDAifQ==</vt:lpwstr>
  </property>
</Properties>
</file>